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78" w:rsidRDefault="003458E3" w:rsidP="003458E3">
      <w:pPr>
        <w:jc w:val="center"/>
        <w:rPr>
          <w:b/>
          <w:bCs/>
          <w:sz w:val="32"/>
          <w:szCs w:val="32"/>
          <w:u w:val="single"/>
          <w:rtl/>
        </w:rPr>
      </w:pPr>
      <w:r w:rsidRPr="003458E3">
        <w:rPr>
          <w:rFonts w:hint="cs"/>
          <w:b/>
          <w:bCs/>
          <w:sz w:val="32"/>
          <w:szCs w:val="32"/>
          <w:u w:val="single"/>
          <w:rtl/>
        </w:rPr>
        <w:t>مشاريع التخرج 2017-2018</w:t>
      </w:r>
    </w:p>
    <w:p w:rsidR="003458E3" w:rsidRPr="00E6355A" w:rsidRDefault="003458E3" w:rsidP="003458E3">
      <w:pPr>
        <w:jc w:val="center"/>
        <w:rPr>
          <w:b/>
          <w:bCs/>
          <w:sz w:val="28"/>
          <w:szCs w:val="28"/>
          <w:u w:val="single"/>
          <w:rtl/>
        </w:rPr>
      </w:pPr>
      <w:r w:rsidRPr="00E6355A">
        <w:rPr>
          <w:rFonts w:hint="cs"/>
          <w:b/>
          <w:bCs/>
          <w:sz w:val="28"/>
          <w:szCs w:val="28"/>
          <w:u w:val="single"/>
          <w:rtl/>
        </w:rPr>
        <w:t xml:space="preserve">أستاذ د شذى حسين </w:t>
      </w:r>
    </w:p>
    <w:p w:rsidR="003458E3" w:rsidRPr="00E6355A" w:rsidRDefault="003458E3" w:rsidP="003458E3">
      <w:pPr>
        <w:jc w:val="center"/>
        <w:rPr>
          <w:b/>
          <w:bCs/>
          <w:sz w:val="28"/>
          <w:szCs w:val="28"/>
          <w:u w:val="single"/>
          <w:rtl/>
        </w:rPr>
      </w:pPr>
    </w:p>
    <w:p w:rsidR="003458E3" w:rsidRPr="00E6355A" w:rsidRDefault="003458E3" w:rsidP="003458E3">
      <w:pPr>
        <w:jc w:val="center"/>
        <w:rPr>
          <w:b/>
          <w:bCs/>
          <w:sz w:val="28"/>
          <w:szCs w:val="28"/>
          <w:u w:val="single"/>
          <w:rtl/>
        </w:rPr>
      </w:pPr>
    </w:p>
    <w:p w:rsidR="003458E3" w:rsidRPr="00E6355A" w:rsidRDefault="003458E3" w:rsidP="003458E3">
      <w:pPr>
        <w:jc w:val="center"/>
        <w:rPr>
          <w:b/>
          <w:bCs/>
          <w:sz w:val="28"/>
          <w:szCs w:val="28"/>
          <w:u w:val="single"/>
          <w:rtl/>
        </w:rPr>
      </w:pPr>
    </w:p>
    <w:p w:rsidR="00225FD4" w:rsidRDefault="003458E3" w:rsidP="003458E3">
      <w:pPr>
        <w:rPr>
          <w:rFonts w:asciiTheme="majorBidi" w:hAnsiTheme="majorBidi" w:cstheme="majorBidi"/>
          <w:sz w:val="28"/>
          <w:szCs w:val="28"/>
        </w:rPr>
      </w:pPr>
      <w:r w:rsidRPr="00E6355A">
        <w:rPr>
          <w:rFonts w:asciiTheme="majorBidi" w:hAnsiTheme="majorBidi" w:cstheme="majorBidi"/>
          <w:sz w:val="28"/>
          <w:szCs w:val="28"/>
        </w:rPr>
        <w:t xml:space="preserve">1-Fibroblast growth factor -237 vascular calcification </w:t>
      </w:r>
      <w:r w:rsidR="00E6355A" w:rsidRPr="00E6355A">
        <w:rPr>
          <w:rFonts w:asciiTheme="majorBidi" w:hAnsiTheme="majorBidi" w:cstheme="majorBidi"/>
          <w:sz w:val="28"/>
          <w:szCs w:val="28"/>
        </w:rPr>
        <w:t xml:space="preserve">in relation to </w:t>
      </w:r>
      <w:proofErr w:type="spellStart"/>
      <w:r w:rsidR="00E6355A">
        <w:rPr>
          <w:rFonts w:asciiTheme="majorBidi" w:hAnsiTheme="majorBidi" w:cstheme="majorBidi"/>
          <w:sz w:val="28"/>
          <w:szCs w:val="28"/>
        </w:rPr>
        <w:t>undercarboxylated</w:t>
      </w:r>
      <w:proofErr w:type="spellEnd"/>
      <w:r w:rsidR="00E635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6355A">
        <w:rPr>
          <w:rFonts w:asciiTheme="majorBidi" w:hAnsiTheme="majorBidi" w:cstheme="majorBidi"/>
          <w:sz w:val="28"/>
          <w:szCs w:val="28"/>
        </w:rPr>
        <w:t>osteocalcin</w:t>
      </w:r>
      <w:proofErr w:type="spellEnd"/>
    </w:p>
    <w:p w:rsidR="00225FD4" w:rsidRP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225FD4">
        <w:rPr>
          <w:rFonts w:asciiTheme="majorBidi" w:hAnsiTheme="majorBidi" w:cstheme="majorBidi"/>
          <w:sz w:val="24"/>
          <w:szCs w:val="24"/>
          <w:lang w:bidi="ar-SA"/>
        </w:rPr>
        <w:t>ABSTRACT</w:t>
      </w:r>
    </w:p>
    <w:p w:rsidR="003458E3" w:rsidRP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Fibroblast growth factor-23 (FGF-23) has been linked to vascular </w:t>
      </w:r>
      <w:proofErr w:type="spellStart"/>
      <w:r w:rsidRPr="00225FD4">
        <w:rPr>
          <w:rFonts w:asciiTheme="majorBidi" w:hAnsiTheme="majorBidi" w:cstheme="majorBidi"/>
          <w:sz w:val="24"/>
          <w:szCs w:val="24"/>
          <w:lang w:bidi="ar-SA"/>
        </w:rPr>
        <w:t>calcification</w:t>
      </w:r>
      <w:proofErr w:type="gramStart"/>
      <w:r w:rsidRPr="00225FD4">
        <w:rPr>
          <w:rFonts w:asciiTheme="majorBidi" w:hAnsiTheme="majorBidi" w:cstheme="majorBidi"/>
          <w:sz w:val="24"/>
          <w:szCs w:val="24"/>
          <w:lang w:bidi="ar-SA"/>
        </w:rPr>
        <w:t>,ventricular</w:t>
      </w:r>
      <w:proofErr w:type="spellEnd"/>
      <w:proofErr w:type="gramEnd"/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hypertrophy and mortality in chronic kidney disease (CKD), although these </w:t>
      </w:r>
      <w:proofErr w:type="spellStart"/>
      <w:r w:rsidRPr="00225FD4">
        <w:rPr>
          <w:rFonts w:asciiTheme="majorBidi" w:hAnsiTheme="majorBidi" w:cstheme="majorBidi"/>
          <w:sz w:val="24"/>
          <w:szCs w:val="24"/>
          <w:lang w:bidi="ar-SA"/>
        </w:rPr>
        <w:t>linksmay</w:t>
      </w:r>
      <w:proofErr w:type="spellEnd"/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not be direct and independent. Similar grave outcomes are associated with inflammation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and oxidative stress in CKD. Recently, accumulating evidence has linked components of phosphate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homeostasis to inflammation and oxidative stress. The interaction between the triad of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inflammation, FGF-23 and cardiovascular outcomes is </w:t>
      </w:r>
      <w:proofErr w:type="spellStart"/>
      <w:r w:rsidRPr="00225FD4">
        <w:rPr>
          <w:rFonts w:asciiTheme="majorBidi" w:hAnsiTheme="majorBidi" w:cstheme="majorBidi"/>
          <w:sz w:val="24"/>
          <w:szCs w:val="24"/>
          <w:lang w:bidi="ar-SA"/>
        </w:rPr>
        <w:t>underinvestigated</w:t>
      </w:r>
      <w:proofErr w:type="spellEnd"/>
      <w:r w:rsidR="00E6355A" w:rsidRPr="00225FD4">
        <w:rPr>
          <w:rFonts w:asciiTheme="majorBidi" w:hAnsiTheme="majorBidi" w:cstheme="majorBidi"/>
          <w:sz w:val="24"/>
          <w:szCs w:val="24"/>
        </w:rPr>
        <w:t xml:space="preserve"> </w:t>
      </w:r>
    </w:p>
    <w:p w:rsidR="00225FD4" w:rsidRP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E6355A" w:rsidRDefault="00E6355A" w:rsidP="003458E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2-Serum aldosterone levels in patients with diabetic nephropathy in relation to vascular calcification</w:t>
      </w:r>
    </w:p>
    <w:p w:rsidR="00225FD4" w:rsidRDefault="00225FD4" w:rsidP="003458E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Abstract</w:t>
      </w:r>
    </w:p>
    <w:p w:rsidR="00225FD4" w:rsidRP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231F20"/>
          <w:sz w:val="24"/>
          <w:szCs w:val="24"/>
          <w:lang w:bidi="ar-SA"/>
        </w:rPr>
      </w:pP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Vascular calcification </w:t>
      </w:r>
      <w:proofErr w:type="gram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is frequently found</w:t>
      </w:r>
      <w:proofErr w:type="gram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already in early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stages of chronic kidney disease (CKD) patients and is associated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with high cardiovascular risk. The process of vascular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calcification is not considered a passive phenomenon but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involves, at least in part, phenotypical transformation of vascular</w:t>
      </w:r>
    </w:p>
    <w:p w:rsidR="00225FD4" w:rsidRP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231F20"/>
          <w:sz w:val="24"/>
          <w:szCs w:val="24"/>
          <w:lang w:bidi="ar-SA"/>
        </w:rPr>
      </w:pPr>
      <w:proofErr w:type="gram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smooth</w:t>
      </w:r>
      <w:proofErr w:type="gram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muscle cells (VSMCs). Following exposure to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excessive extracellular phosphate concentrations, VSMCs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undergo a reprogramming into </w:t>
      </w:r>
      <w:proofErr w:type="spell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osteo</w:t>
      </w:r>
      <w:proofErr w:type="spell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-/</w:t>
      </w:r>
      <w:proofErr w:type="spell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chondroblast</w:t>
      </w:r>
      <w:proofErr w:type="spell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-like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cells. Such ‘vascular </w:t>
      </w:r>
      <w:proofErr w:type="spell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osteoinduction</w:t>
      </w:r>
      <w:proofErr w:type="spell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’ </w:t>
      </w:r>
      <w:proofErr w:type="gram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is characterized by expression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of osteogenic transcription factors and triggered by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increased phosphate concentrations</w:t>
      </w:r>
      <w:proofErr w:type="gram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. A key role in this process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proofErr w:type="gram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is assigned</w:t>
      </w:r>
      <w:proofErr w:type="gram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to cellular phosphate transporters, most notably</w:t>
      </w:r>
    </w:p>
    <w:p w:rsid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231F20"/>
          <w:sz w:val="24"/>
          <w:szCs w:val="24"/>
          <w:lang w:bidi="ar-SA"/>
        </w:rPr>
      </w:pPr>
      <w:proofErr w:type="gram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the</w:t>
      </w:r>
      <w:proofErr w:type="gram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type III sodium-dependent phosphate transporter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Pit1. Pit1 expression </w:t>
      </w:r>
      <w:proofErr w:type="gramStart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is stimulated</w:t>
      </w:r>
      <w:proofErr w:type="gramEnd"/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by mineralocorticoid receptor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activation. Therefore, aldosterone participates in the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 xml:space="preserve"> </w:t>
      </w:r>
      <w:r w:rsidRPr="00225FD4">
        <w:rPr>
          <w:rFonts w:ascii="MyriadPro-Regular" w:hAnsi="MyriadPro-Regular" w:cs="MyriadPro-Regular"/>
          <w:color w:val="231F20"/>
          <w:sz w:val="24"/>
          <w:szCs w:val="24"/>
          <w:lang w:bidi="ar-SA"/>
        </w:rPr>
        <w:t>phenotypical transformation of VSMCs.</w:t>
      </w:r>
    </w:p>
    <w:p w:rsid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231F20"/>
          <w:sz w:val="24"/>
          <w:szCs w:val="24"/>
          <w:lang w:bidi="ar-SA"/>
        </w:rPr>
      </w:pPr>
    </w:p>
    <w:p w:rsid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231F20"/>
          <w:sz w:val="24"/>
          <w:szCs w:val="24"/>
          <w:lang w:bidi="ar-SA"/>
        </w:rPr>
      </w:pPr>
    </w:p>
    <w:p w:rsid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231F20"/>
          <w:sz w:val="24"/>
          <w:szCs w:val="24"/>
          <w:lang w:bidi="ar-SA"/>
        </w:rPr>
      </w:pPr>
    </w:p>
    <w:p w:rsid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231F20"/>
          <w:sz w:val="24"/>
          <w:szCs w:val="24"/>
          <w:lang w:bidi="ar-SA"/>
        </w:rPr>
      </w:pPr>
    </w:p>
    <w:p w:rsidR="00225FD4" w:rsidRP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E6355A" w:rsidRDefault="00E6355A" w:rsidP="003458E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3- </w:t>
      </w:r>
      <w:proofErr w:type="spellStart"/>
      <w:r>
        <w:rPr>
          <w:rFonts w:asciiTheme="majorBidi" w:hAnsiTheme="majorBidi" w:cstheme="majorBidi"/>
          <w:sz w:val="28"/>
          <w:szCs w:val="28"/>
        </w:rPr>
        <w:t>Osteoprotegrin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vascular calcification in patients with CKD</w:t>
      </w:r>
    </w:p>
    <w:p w:rsidR="00225FD4" w:rsidRDefault="00225FD4" w:rsidP="00225FD4">
      <w:pPr>
        <w:autoSpaceDE w:val="0"/>
        <w:autoSpaceDN w:val="0"/>
        <w:adjustRightInd w:val="0"/>
        <w:spacing w:after="0" w:line="240" w:lineRule="auto"/>
        <w:rPr>
          <w:rFonts w:ascii="MSTT3117e57b3O05401700" w:hAnsi="MSTT3117e57b3O05401700" w:cs="MSTT3117e57b3O05401700"/>
          <w:sz w:val="20"/>
          <w:szCs w:val="20"/>
          <w:lang w:bidi="ar-SA"/>
        </w:rPr>
      </w:pPr>
      <w:r>
        <w:rPr>
          <w:rFonts w:ascii="MSTT3117e57b3O05401700" w:hAnsi="MSTT3117e57b3O05401700" w:cs="MSTT3117e57b3O05401700"/>
          <w:sz w:val="20"/>
          <w:szCs w:val="20"/>
          <w:lang w:bidi="ar-SA"/>
        </w:rPr>
        <w:t xml:space="preserve"> ABSTRACT</w:t>
      </w:r>
    </w:p>
    <w:p w:rsidR="00225FD4" w:rsidRPr="00225FD4" w:rsidRDefault="00225FD4" w:rsidP="00225FD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In patients with </w:t>
      </w:r>
      <w:proofErr w:type="gramStart"/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>uremia</w:t>
      </w:r>
      <w:proofErr w:type="gramEnd"/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either increased or suppressed bone turnover can be observed. However, secondary hyperparathyroidism is the most common type of renal </w:t>
      </w:r>
      <w:proofErr w:type="spellStart"/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>osteodystrophy</w:t>
      </w:r>
      <w:proofErr w:type="spellEnd"/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is characterized by PTH-related bone loss. OPG serum levels </w:t>
      </w:r>
      <w:proofErr w:type="gramStart"/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>are increased</w:t>
      </w:r>
      <w:proofErr w:type="gramEnd"/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patients with chronic kidney disease and it might inhibit </w:t>
      </w:r>
      <w:proofErr w:type="spellStart"/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>osteoclastogenesis</w:t>
      </w:r>
      <w:proofErr w:type="spellEnd"/>
      <w:r w:rsidRPr="00225FD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bone resorption induced by PTH in patients with uremia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Abnormalities of calcium–phosphate balance, with subsequent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bone metabolism disorders, are among the key and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earliest features of chronic kidney disease (CKD). Recently,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another consequence of these abnormalities </w:t>
      </w:r>
      <w:proofErr w:type="gramStart"/>
      <w:r w:rsidRPr="00225FD4">
        <w:rPr>
          <w:rFonts w:asciiTheme="majorBidi" w:hAnsiTheme="majorBidi" w:cstheme="majorBidi"/>
          <w:sz w:val="24"/>
          <w:szCs w:val="24"/>
          <w:lang w:bidi="ar-SA"/>
        </w:rPr>
        <w:t>was brought</w:t>
      </w:r>
      <w:proofErr w:type="gramEnd"/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to light—namely, vascular calcification. Most studies performed</w:t>
      </w:r>
      <w:r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bookmarkStart w:id="0" w:name="_GoBack"/>
      <w:bookmarkEnd w:id="0"/>
      <w:r w:rsidRPr="00225FD4">
        <w:rPr>
          <w:rFonts w:asciiTheme="majorBidi" w:hAnsiTheme="majorBidi" w:cstheme="majorBidi"/>
          <w:sz w:val="24"/>
          <w:szCs w:val="24"/>
          <w:lang w:bidi="ar-SA"/>
        </w:rPr>
        <w:t>in patients on dialysis suggest that their vascular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calcification is more advanced than that seen in the general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population. Furthermore, the progression of vessel wall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Pr="00225FD4">
        <w:rPr>
          <w:rFonts w:asciiTheme="majorBidi" w:hAnsiTheme="majorBidi" w:cstheme="majorBidi"/>
          <w:sz w:val="24"/>
          <w:szCs w:val="24"/>
          <w:lang w:bidi="ar-SA"/>
        </w:rPr>
        <w:t>mineralization is much more dynamic in patients with CKD</w:t>
      </w:r>
    </w:p>
    <w:sectPr w:rsidR="00225FD4" w:rsidRPr="0022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17e57b3O05401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9"/>
    <w:rsid w:val="00116478"/>
    <w:rsid w:val="00225FD4"/>
    <w:rsid w:val="003458E3"/>
    <w:rsid w:val="004221E9"/>
    <w:rsid w:val="00E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3F7A"/>
  <w15:chartTrackingRefBased/>
  <w15:docId w15:val="{F1D8D862-499A-4518-B339-48C7EBF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shatha ali</dc:creator>
  <cp:keywords/>
  <dc:description/>
  <cp:lastModifiedBy>shatha ali</cp:lastModifiedBy>
  <cp:revision>3</cp:revision>
  <dcterms:created xsi:type="dcterms:W3CDTF">2019-09-28T06:11:00Z</dcterms:created>
  <dcterms:modified xsi:type="dcterms:W3CDTF">2019-09-28T06:45:00Z</dcterms:modified>
</cp:coreProperties>
</file>